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1A" w:rsidRDefault="00A56F2A" w:rsidP="009B0D0C">
      <w:pPr>
        <w:pStyle w:val="lvl1Heading"/>
        <w:spacing w:before="120"/>
        <w:ind w:left="357" w:hanging="357"/>
      </w:pPr>
      <w:r w:rsidRPr="00E6181A">
        <w:t>Factsheet on Cohesion Policy i</w:t>
      </w:r>
      <w:r w:rsidR="00E6181A">
        <w:t>mplementation and performance</w:t>
      </w:r>
    </w:p>
    <w:p w:rsidR="003B331E" w:rsidRPr="00E6181A" w:rsidRDefault="00E6181A" w:rsidP="009B0D0C">
      <w:pPr>
        <w:pStyle w:val="lvl1Heading"/>
        <w:spacing w:before="120"/>
        <w:ind w:left="357" w:hanging="357"/>
      </w:pPr>
      <w:r>
        <w:t>C</w:t>
      </w:r>
      <w:r w:rsidR="00A56F2A" w:rsidRPr="00E6181A">
        <w:t xml:space="preserve">ase study regions in </w:t>
      </w:r>
      <w:r w:rsidR="008B04C2">
        <w:t>the UK</w:t>
      </w:r>
    </w:p>
    <w:p w:rsidR="00A56F2A" w:rsidRDefault="000B7122" w:rsidP="00E95825">
      <w:pPr>
        <w:spacing w:after="160" w:line="240" w:lineRule="auto"/>
        <w:jc w:val="right"/>
        <w:rPr>
          <w:rFonts w:ascii="Century Gothic" w:eastAsia="MS Mincho" w:hAnsi="Century Gothic" w:cs="Arial"/>
          <w:bCs/>
          <w:color w:val="0D8B95"/>
          <w:kern w:val="24"/>
          <w:sz w:val="24"/>
          <w:szCs w:val="28"/>
          <w:lang w:val="en-GB" w:eastAsia="ja-JP"/>
        </w:rPr>
      </w:pPr>
      <w:r>
        <w:rPr>
          <w:rFonts w:ascii="Century Gothic" w:eastAsia="MS Mincho" w:hAnsi="Century Gothic" w:cs="Arial"/>
          <w:bCs/>
          <w:color w:val="0D8B95"/>
          <w:kern w:val="24"/>
          <w:sz w:val="24"/>
          <w:szCs w:val="28"/>
          <w:lang w:val="en-GB" w:eastAsia="ja-JP"/>
        </w:rPr>
        <w:t>Version 22</w:t>
      </w:r>
      <w:r w:rsidR="00E6181A" w:rsidRPr="00E95825">
        <w:rPr>
          <w:rFonts w:ascii="Century Gothic" w:eastAsia="MS Mincho" w:hAnsi="Century Gothic" w:cs="Arial"/>
          <w:bCs/>
          <w:color w:val="0D8B95"/>
          <w:kern w:val="24"/>
          <w:sz w:val="24"/>
          <w:szCs w:val="28"/>
          <w:lang w:val="en-GB" w:eastAsia="ja-JP"/>
        </w:rPr>
        <w:t>.0</w:t>
      </w:r>
      <w:r w:rsidR="009F5B5E">
        <w:rPr>
          <w:rFonts w:ascii="Century Gothic" w:eastAsia="MS Mincho" w:hAnsi="Century Gothic" w:cs="Arial"/>
          <w:bCs/>
          <w:color w:val="0D8B95"/>
          <w:kern w:val="24"/>
          <w:sz w:val="24"/>
          <w:szCs w:val="28"/>
          <w:lang w:val="en-GB" w:eastAsia="ja-JP"/>
        </w:rPr>
        <w:t>2</w:t>
      </w:r>
      <w:r w:rsidR="00E6181A" w:rsidRPr="00E95825">
        <w:rPr>
          <w:rFonts w:ascii="Century Gothic" w:eastAsia="MS Mincho" w:hAnsi="Century Gothic" w:cs="Arial"/>
          <w:bCs/>
          <w:color w:val="0D8B95"/>
          <w:kern w:val="24"/>
          <w:sz w:val="24"/>
          <w:szCs w:val="28"/>
          <w:lang w:val="en-GB" w:eastAsia="ja-JP"/>
        </w:rPr>
        <w:t>.2017,</w:t>
      </w:r>
      <w:r w:rsidR="00386949" w:rsidRPr="00E95825">
        <w:rPr>
          <w:rFonts w:ascii="Century Gothic" w:eastAsia="MS Mincho" w:hAnsi="Century Gothic" w:cs="Arial"/>
          <w:bCs/>
          <w:color w:val="0D8B95"/>
          <w:kern w:val="24"/>
          <w:sz w:val="24"/>
          <w:szCs w:val="28"/>
          <w:lang w:val="en-GB" w:eastAsia="ja-JP"/>
        </w:rPr>
        <w:t xml:space="preserve"> EUROREG</w:t>
      </w:r>
    </w:p>
    <w:tbl>
      <w:tblPr>
        <w:tblStyle w:val="Tabela-Siatka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86"/>
        <w:gridCol w:w="1402"/>
        <w:gridCol w:w="1408"/>
        <w:gridCol w:w="1408"/>
        <w:gridCol w:w="1412"/>
      </w:tblGrid>
      <w:tr w:rsidR="000B7122" w:rsidRPr="00E6181A" w:rsidTr="000B7122">
        <w:trPr>
          <w:trHeight w:val="255"/>
        </w:trPr>
        <w:tc>
          <w:tcPr>
            <w:tcW w:w="2161" w:type="pct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  <w:shd w:val="clear" w:color="auto" w:fill="C2D69B" w:themeFill="accent3" w:themeFillTint="99"/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Basic info</w:t>
            </w:r>
          </w:p>
        </w:tc>
        <w:tc>
          <w:tcPr>
            <w:tcW w:w="707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C2D69B" w:themeFill="accent3" w:themeFillTint="99"/>
            <w:noWrap/>
          </w:tcPr>
          <w:p w:rsidR="000B7122" w:rsidRPr="008B04C2" w:rsidRDefault="000B7122" w:rsidP="008B04C2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 xml:space="preserve">Wales </w:t>
            </w:r>
          </w:p>
        </w:tc>
        <w:tc>
          <w:tcPr>
            <w:tcW w:w="710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C2D69B" w:themeFill="accent3" w:themeFillTint="99"/>
          </w:tcPr>
          <w:p w:rsidR="000B7122" w:rsidRPr="008B04C2" w:rsidRDefault="000B7122" w:rsidP="008B04C2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710" w:type="pct"/>
            <w:tcBorders>
              <w:top w:val="single" w:sz="18" w:space="0" w:color="00B050"/>
              <w:bottom w:val="single" w:sz="18" w:space="0" w:color="00B050"/>
            </w:tcBorders>
            <w:shd w:val="clear" w:color="auto" w:fill="C2D69B" w:themeFill="accent3" w:themeFillTint="99"/>
            <w:noWrap/>
          </w:tcPr>
          <w:p w:rsidR="000B7122" w:rsidRPr="008B04C2" w:rsidRDefault="000B7122" w:rsidP="008B04C2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UK</w:t>
            </w:r>
          </w:p>
        </w:tc>
        <w:tc>
          <w:tcPr>
            <w:tcW w:w="712" w:type="pct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C2D69B" w:themeFill="accent3" w:themeFillTint="99"/>
            <w:noWrap/>
            <w:hideMark/>
          </w:tcPr>
          <w:p w:rsidR="000B7122" w:rsidRPr="00E6181A" w:rsidRDefault="000B7122" w:rsidP="009B0D0C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Unit</w:t>
            </w:r>
          </w:p>
        </w:tc>
      </w:tr>
      <w:tr w:rsidR="000B7122" w:rsidRPr="00E6181A" w:rsidTr="000B7122">
        <w:trPr>
          <w:trHeight w:val="255"/>
        </w:trPr>
        <w:tc>
          <w:tcPr>
            <w:tcW w:w="2161" w:type="pct"/>
            <w:tcBorders>
              <w:top w:val="single" w:sz="18" w:space="0" w:color="00B050"/>
              <w:left w:val="single" w:sz="18" w:space="0" w:color="00B050"/>
            </w:tcBorders>
            <w:noWrap/>
            <w:hideMark/>
          </w:tcPr>
          <w:p w:rsidR="000B7122" w:rsidRPr="00E6181A" w:rsidRDefault="000B7122" w:rsidP="009B0D0C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Population [2008]</w:t>
            </w:r>
          </w:p>
        </w:tc>
        <w:tc>
          <w:tcPr>
            <w:tcW w:w="707" w:type="pct"/>
            <w:tcBorders>
              <w:top w:val="single" w:sz="18" w:space="0" w:color="00B050"/>
            </w:tcBorders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3015.8</w:t>
            </w:r>
          </w:p>
        </w:tc>
        <w:tc>
          <w:tcPr>
            <w:tcW w:w="710" w:type="pct"/>
            <w:tcBorders>
              <w:top w:val="single" w:sz="18" w:space="0" w:color="00B050"/>
            </w:tcBorders>
          </w:tcPr>
          <w:p w:rsidR="000B7122" w:rsidRPr="00E6181A" w:rsidRDefault="000B7122" w:rsidP="00FD3284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5186.0</w:t>
            </w:r>
          </w:p>
        </w:tc>
        <w:tc>
          <w:tcPr>
            <w:tcW w:w="710" w:type="pct"/>
            <w:tcBorders>
              <w:top w:val="single" w:sz="18" w:space="0" w:color="00B050"/>
            </w:tcBorders>
            <w:noWrap/>
          </w:tcPr>
          <w:p w:rsidR="000B7122" w:rsidRPr="00E6181A" w:rsidRDefault="000B7122" w:rsidP="00FD3284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61571.6</w:t>
            </w:r>
          </w:p>
        </w:tc>
        <w:tc>
          <w:tcPr>
            <w:tcW w:w="712" w:type="pct"/>
            <w:tcBorders>
              <w:top w:val="single" w:sz="18" w:space="0" w:color="00B050"/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thous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B7122" w:rsidRPr="00E6181A" w:rsidTr="000B7122">
        <w:trPr>
          <w:trHeight w:val="255"/>
        </w:trPr>
        <w:tc>
          <w:tcPr>
            <w:tcW w:w="2161" w:type="pct"/>
            <w:tcBorders>
              <w:left w:val="single" w:sz="18" w:space="0" w:color="00B050"/>
            </w:tcBorders>
            <w:noWrap/>
            <w:hideMark/>
          </w:tcPr>
          <w:p w:rsidR="000B7122" w:rsidRPr="00E6181A" w:rsidRDefault="000B7122" w:rsidP="009B0D0C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GDP [2008]</w:t>
            </w:r>
          </w:p>
        </w:tc>
        <w:tc>
          <w:tcPr>
            <w:tcW w:w="707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64663</w:t>
            </w:r>
          </w:p>
        </w:tc>
        <w:tc>
          <w:tcPr>
            <w:tcW w:w="710" w:type="pct"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149796</w:t>
            </w:r>
          </w:p>
        </w:tc>
        <w:tc>
          <w:tcPr>
            <w:tcW w:w="710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1908370</w:t>
            </w:r>
          </w:p>
        </w:tc>
        <w:tc>
          <w:tcPr>
            <w:tcW w:w="712" w:type="pct"/>
            <w:tcBorders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mln EUR</w:t>
            </w:r>
          </w:p>
        </w:tc>
      </w:tr>
      <w:tr w:rsidR="000B7122" w:rsidRPr="00E6181A" w:rsidTr="000B7122">
        <w:trPr>
          <w:trHeight w:val="255"/>
        </w:trPr>
        <w:tc>
          <w:tcPr>
            <w:tcW w:w="2161" w:type="pct"/>
            <w:tcBorders>
              <w:left w:val="single" w:sz="18" w:space="0" w:color="00B050"/>
            </w:tcBorders>
            <w:noWrap/>
            <w:hideMark/>
          </w:tcPr>
          <w:p w:rsidR="000B7122" w:rsidRPr="00E6181A" w:rsidRDefault="000B7122" w:rsidP="009B0D0C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Population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[2014]</w:t>
            </w:r>
          </w:p>
        </w:tc>
        <w:tc>
          <w:tcPr>
            <w:tcW w:w="707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3095.1</w:t>
            </w:r>
          </w:p>
        </w:tc>
        <w:tc>
          <w:tcPr>
            <w:tcW w:w="710" w:type="pct"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5337.5</w:t>
            </w:r>
          </w:p>
        </w:tc>
        <w:tc>
          <w:tcPr>
            <w:tcW w:w="710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64351.2</w:t>
            </w:r>
          </w:p>
        </w:tc>
        <w:tc>
          <w:tcPr>
            <w:tcW w:w="712" w:type="pct"/>
            <w:tcBorders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thous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.</w:t>
            </w:r>
          </w:p>
        </w:tc>
      </w:tr>
      <w:tr w:rsidR="000B7122" w:rsidRPr="00E6181A" w:rsidTr="000B7122">
        <w:trPr>
          <w:trHeight w:val="255"/>
        </w:trPr>
        <w:tc>
          <w:tcPr>
            <w:tcW w:w="2161" w:type="pct"/>
            <w:tcBorders>
              <w:left w:val="single" w:sz="18" w:space="0" w:color="00B050"/>
            </w:tcBorders>
            <w:noWrap/>
            <w:hideMark/>
          </w:tcPr>
          <w:p w:rsidR="000B7122" w:rsidRPr="00E6181A" w:rsidRDefault="000B7122" w:rsidP="009B0D0C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GDP [2014]</w:t>
            </w:r>
          </w:p>
        </w:tc>
        <w:tc>
          <w:tcPr>
            <w:tcW w:w="707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75976</w:t>
            </w:r>
          </w:p>
        </w:tc>
        <w:tc>
          <w:tcPr>
            <w:tcW w:w="710" w:type="pct"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172744</w:t>
            </w:r>
          </w:p>
        </w:tc>
        <w:tc>
          <w:tcPr>
            <w:tcW w:w="710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2254297</w:t>
            </w:r>
          </w:p>
        </w:tc>
        <w:tc>
          <w:tcPr>
            <w:tcW w:w="712" w:type="pct"/>
            <w:tcBorders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mln EUR</w:t>
            </w:r>
          </w:p>
        </w:tc>
      </w:tr>
      <w:tr w:rsidR="008B04C2" w:rsidRPr="00E6181A" w:rsidTr="000B7122">
        <w:trPr>
          <w:trHeight w:val="255"/>
        </w:trPr>
        <w:tc>
          <w:tcPr>
            <w:tcW w:w="5000" w:type="pct"/>
            <w:gridSpan w:val="5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EAF1DD" w:themeFill="accent3" w:themeFillTint="33"/>
          </w:tcPr>
          <w:p w:rsidR="008B04C2" w:rsidRPr="00E6181A" w:rsidRDefault="008B04C2" w:rsidP="00127195">
            <w:pPr>
              <w:rPr>
                <w:rFonts w:ascii="Corbel" w:eastAsia="Times New Roman" w:hAnsi="Corbel" w:cs="Arial"/>
                <w:b/>
                <w:i/>
                <w:color w:val="000000"/>
                <w:sz w:val="20"/>
                <w:szCs w:val="20"/>
              </w:rPr>
            </w:pPr>
            <w:r w:rsidRPr="00E6181A">
              <w:rPr>
                <w:rFonts w:ascii="Corbel" w:eastAsia="Times New Roman" w:hAnsi="Corbel" w:cs="Arial"/>
                <w:b/>
                <w:i/>
                <w:color w:val="4F6228" w:themeColor="accent3" w:themeShade="80"/>
                <w:sz w:val="20"/>
                <w:szCs w:val="20"/>
              </w:rPr>
              <w:t xml:space="preserve">Total </w:t>
            </w:r>
            <w:proofErr w:type="spellStart"/>
            <w:r w:rsidRPr="00E6181A">
              <w:rPr>
                <w:rFonts w:ascii="Corbel" w:eastAsia="Times New Roman" w:hAnsi="Corbel" w:cs="Arial"/>
                <w:b/>
                <w:i/>
                <w:color w:val="4F6228" w:themeColor="accent3" w:themeShade="80"/>
                <w:sz w:val="20"/>
                <w:szCs w:val="20"/>
              </w:rPr>
              <w:t>allocation</w:t>
            </w:r>
            <w:proofErr w:type="spellEnd"/>
          </w:p>
        </w:tc>
      </w:tr>
      <w:tr w:rsidR="000B7122" w:rsidRPr="00E6181A" w:rsidTr="000B7122">
        <w:trPr>
          <w:trHeight w:val="255"/>
        </w:trPr>
        <w:tc>
          <w:tcPr>
            <w:tcW w:w="2161" w:type="pct"/>
            <w:tcBorders>
              <w:lef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Allocation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ERDF+CF 2000-2006</w:t>
            </w:r>
          </w:p>
        </w:tc>
        <w:tc>
          <w:tcPr>
            <w:tcW w:w="707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915.2</w:t>
            </w:r>
          </w:p>
        </w:tc>
        <w:tc>
          <w:tcPr>
            <w:tcW w:w="710" w:type="pct"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923.7</w:t>
            </w:r>
          </w:p>
        </w:tc>
        <w:tc>
          <w:tcPr>
            <w:tcW w:w="710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8080.4</w:t>
            </w:r>
          </w:p>
        </w:tc>
        <w:tc>
          <w:tcPr>
            <w:tcW w:w="712" w:type="pct"/>
            <w:tcBorders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mln EUR</w:t>
            </w:r>
          </w:p>
        </w:tc>
      </w:tr>
      <w:tr w:rsidR="000B7122" w:rsidRPr="00E6181A" w:rsidTr="000B7122">
        <w:trPr>
          <w:trHeight w:val="201"/>
        </w:trPr>
        <w:tc>
          <w:tcPr>
            <w:tcW w:w="2161" w:type="pct"/>
            <w:tcBorders>
              <w:lef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Allocation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ERDF+CF 2007-2013</w:t>
            </w:r>
          </w:p>
        </w:tc>
        <w:tc>
          <w:tcPr>
            <w:tcW w:w="707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1399.2</w:t>
            </w:r>
          </w:p>
        </w:tc>
        <w:tc>
          <w:tcPr>
            <w:tcW w:w="710" w:type="pct"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531.4</w:t>
            </w:r>
          </w:p>
        </w:tc>
        <w:tc>
          <w:tcPr>
            <w:tcW w:w="710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5928.5</w:t>
            </w:r>
          </w:p>
        </w:tc>
        <w:tc>
          <w:tcPr>
            <w:tcW w:w="712" w:type="pct"/>
            <w:tcBorders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mln EUR</w:t>
            </w:r>
          </w:p>
        </w:tc>
      </w:tr>
      <w:tr w:rsidR="000B7122" w:rsidRPr="00E6181A" w:rsidTr="000B7122">
        <w:trPr>
          <w:trHeight w:val="255"/>
        </w:trPr>
        <w:tc>
          <w:tcPr>
            <w:tcW w:w="2161" w:type="pct"/>
            <w:tcBorders>
              <w:left w:val="single" w:sz="18" w:space="0" w:color="00B050"/>
            </w:tcBorders>
            <w:noWrap/>
            <w:hideMark/>
          </w:tcPr>
          <w:p w:rsidR="000B7122" w:rsidRPr="00E6181A" w:rsidRDefault="000B7122" w:rsidP="00F85BAD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Ratio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[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period 2007-2013 to 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2000-2006]</w:t>
            </w:r>
          </w:p>
        </w:tc>
        <w:tc>
          <w:tcPr>
            <w:tcW w:w="707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710" w:type="pct"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0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12" w:type="pct"/>
            <w:tcBorders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ratio</w:t>
            </w:r>
          </w:p>
        </w:tc>
      </w:tr>
      <w:tr w:rsidR="008B04C2" w:rsidRPr="00E6181A" w:rsidTr="000B7122">
        <w:trPr>
          <w:trHeight w:val="255"/>
        </w:trPr>
        <w:tc>
          <w:tcPr>
            <w:tcW w:w="5000" w:type="pct"/>
            <w:gridSpan w:val="5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EAF1DD" w:themeFill="accent3" w:themeFillTint="33"/>
          </w:tcPr>
          <w:p w:rsidR="008B04C2" w:rsidRPr="00E6181A" w:rsidRDefault="008B04C2" w:rsidP="00127195">
            <w:pPr>
              <w:rPr>
                <w:rFonts w:ascii="Corbel" w:eastAsia="Times New Roman" w:hAnsi="Corbe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b/>
                <w:i/>
                <w:color w:val="4F6228" w:themeColor="accent3" w:themeShade="80"/>
                <w:sz w:val="20"/>
                <w:szCs w:val="20"/>
              </w:rPr>
              <w:t>Absorption</w:t>
            </w:r>
            <w:proofErr w:type="spellEnd"/>
            <w:r w:rsidRPr="00E6181A">
              <w:rPr>
                <w:rFonts w:ascii="Corbel" w:eastAsia="Times New Roman" w:hAnsi="Corbel" w:cs="Arial"/>
                <w:b/>
                <w:i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E6181A">
              <w:rPr>
                <w:rFonts w:ascii="Corbel" w:eastAsia="Times New Roman" w:hAnsi="Corbel" w:cs="Arial"/>
                <w:b/>
                <w:i/>
                <w:color w:val="4F6228" w:themeColor="accent3" w:themeShade="80"/>
                <w:sz w:val="20"/>
                <w:szCs w:val="20"/>
              </w:rPr>
              <w:t>rates</w:t>
            </w:r>
            <w:proofErr w:type="spellEnd"/>
            <w:r w:rsidR="000B7122">
              <w:rPr>
                <w:rFonts w:ascii="Corbel" w:eastAsia="Times New Roman" w:hAnsi="Corbel" w:cs="Arial"/>
                <w:b/>
                <w:i/>
                <w:color w:val="4F6228" w:themeColor="accent3" w:themeShade="80"/>
                <w:sz w:val="20"/>
                <w:szCs w:val="20"/>
              </w:rPr>
              <w:t xml:space="preserve"> ERDF+CF</w:t>
            </w:r>
          </w:p>
        </w:tc>
      </w:tr>
      <w:tr w:rsidR="000B7122" w:rsidRPr="00E6181A" w:rsidTr="000B7122">
        <w:trPr>
          <w:trHeight w:val="255"/>
        </w:trPr>
        <w:tc>
          <w:tcPr>
            <w:tcW w:w="2161" w:type="pct"/>
            <w:tcBorders>
              <w:left w:val="single" w:sz="18" w:space="0" w:color="00B050"/>
            </w:tcBorders>
            <w:noWrap/>
            <w:hideMark/>
          </w:tcPr>
          <w:p w:rsidR="000B7122" w:rsidRPr="00E6181A" w:rsidRDefault="000B7122" w:rsidP="009B0D0C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Absorption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rate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2000-2006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final</w:t>
            </w:r>
            <w:proofErr w:type="spellEnd"/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707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710" w:type="pct"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710" w:type="pct"/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712" w:type="pct"/>
            <w:tcBorders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per cent</w:t>
            </w:r>
          </w:p>
        </w:tc>
      </w:tr>
      <w:tr w:rsidR="000B7122" w:rsidRPr="00E6181A" w:rsidTr="000B7122">
        <w:trPr>
          <w:trHeight w:val="255"/>
        </w:trPr>
        <w:tc>
          <w:tcPr>
            <w:tcW w:w="2161" w:type="pct"/>
            <w:tcBorders>
              <w:left w:val="single" w:sz="18" w:space="0" w:color="00B050"/>
              <w:bottom w:val="single" w:sz="18" w:space="0" w:color="00B050"/>
            </w:tcBorders>
            <w:noWrap/>
            <w:hideMark/>
          </w:tcPr>
          <w:p w:rsidR="000B7122" w:rsidRPr="00E6181A" w:rsidRDefault="000B7122" w:rsidP="009B0D0C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Absorption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rate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2007-2013 [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in 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2014]</w:t>
            </w:r>
          </w:p>
        </w:tc>
        <w:tc>
          <w:tcPr>
            <w:tcW w:w="707" w:type="pct"/>
            <w:tcBorders>
              <w:bottom w:val="single" w:sz="18" w:space="0" w:color="00B050"/>
            </w:tcBorders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710" w:type="pct"/>
            <w:tcBorders>
              <w:bottom w:val="single" w:sz="18" w:space="0" w:color="00B050"/>
            </w:tcBorders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710" w:type="pct"/>
            <w:tcBorders>
              <w:bottom w:val="single" w:sz="18" w:space="0" w:color="00B050"/>
            </w:tcBorders>
            <w:noWrap/>
          </w:tcPr>
          <w:p w:rsidR="000B7122" w:rsidRPr="00E6181A" w:rsidRDefault="000B7122" w:rsidP="00A56F2A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712" w:type="pct"/>
            <w:tcBorders>
              <w:bottom w:val="single" w:sz="18" w:space="0" w:color="00B050"/>
              <w:right w:val="single" w:sz="18" w:space="0" w:color="00B050"/>
            </w:tcBorders>
            <w:noWrap/>
            <w:hideMark/>
          </w:tcPr>
          <w:p w:rsidR="000B7122" w:rsidRPr="00E6181A" w:rsidRDefault="000B7122" w:rsidP="00A56F2A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per cent</w:t>
            </w:r>
          </w:p>
        </w:tc>
      </w:tr>
    </w:tbl>
    <w:p w:rsidR="00571C5F" w:rsidRDefault="00571C5F" w:rsidP="003C750D">
      <w:pPr>
        <w:contextualSpacing/>
        <w:jc w:val="both"/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</w:pPr>
    </w:p>
    <w:p w:rsidR="006C06F6" w:rsidRDefault="00B751AB" w:rsidP="003C750D">
      <w:pPr>
        <w:contextualSpacing/>
        <w:jc w:val="both"/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</w:pPr>
      <w:r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The total allocations across case study regions differ considerably in both programming periods, due to their varying eligibility for EU funding. West Wales &amp; The Valley was the only region eligible for the Objective 1/Convergence funding in both programming periods, while Highlands and Islands had been receiving transitional support during the 2000-2006 period and, subsequently, was qualified as a phasing-out region. Thus, the allocations per capita are even more varied inside the case study regions than between them. For instance, the allocation per capita in West Wales &amp; The Valley was 10 times higher than in East Wales in the 2007-13 period. In</w:t>
      </w:r>
      <w:r w:rsidR="004838DF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the</w:t>
      </w:r>
      <w:r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case of Scotland, Highlands and Islands received approx. 3.5 times larger funding in per capita terms than other sub-regions. </w:t>
      </w:r>
      <w:r w:rsidR="009E05D5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Also, Wales is the only one of the analysed regions that experienced an increase in total allocations between the two programming periods. By contrast, the Scotland’s allocations diminished by 42%, significantly exceeding the national average of 27% decrease. The absorption rates for 2014 were similar across analysed regions, with </w:t>
      </w:r>
      <w:r w:rsidR="000B7122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both </w:t>
      </w:r>
      <w:r w:rsidR="009E05D5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Wales </w:t>
      </w:r>
      <w:r w:rsidR="000B7122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and Scotland lagging behind the national average by approximately 3-4 pp. </w:t>
      </w:r>
    </w:p>
    <w:p w:rsidR="002A3DCE" w:rsidRPr="009B0D0C" w:rsidRDefault="002A3DCE" w:rsidP="003C750D">
      <w:pPr>
        <w:contextualSpacing/>
        <w:jc w:val="both"/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</w:pPr>
    </w:p>
    <w:tbl>
      <w:tblPr>
        <w:tblStyle w:val="Tabela-Siatka"/>
        <w:tblW w:w="4975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896"/>
        <w:gridCol w:w="1322"/>
        <w:gridCol w:w="1324"/>
        <w:gridCol w:w="1324"/>
      </w:tblGrid>
      <w:tr w:rsidR="000B7122" w:rsidRPr="008B04C2" w:rsidTr="000B7122">
        <w:trPr>
          <w:trHeight w:val="255"/>
        </w:trPr>
        <w:tc>
          <w:tcPr>
            <w:tcW w:w="2988" w:type="pct"/>
            <w:tcBorders>
              <w:top w:val="single" w:sz="18" w:space="0" w:color="FFC000"/>
              <w:left w:val="single" w:sz="18" w:space="0" w:color="FFC000"/>
              <w:bottom w:val="single" w:sz="18" w:space="0" w:color="FFC000"/>
            </w:tcBorders>
            <w:shd w:val="clear" w:color="auto" w:fill="FFCC00"/>
            <w:noWrap/>
            <w:hideMark/>
          </w:tcPr>
          <w:p w:rsidR="000B7122" w:rsidRPr="009B0D0C" w:rsidRDefault="000B7122" w:rsidP="005F7A30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9B0D0C">
              <w:rPr>
                <w:rFonts w:ascii="Corbel" w:eastAsia="Times New Roman" w:hAnsi="Corbel" w:cs="Arial"/>
                <w:b/>
                <w:bCs/>
                <w:color w:val="000000"/>
                <w:sz w:val="20"/>
                <w:szCs w:val="20"/>
                <w:lang w:val="en-US"/>
              </w:rPr>
              <w:t>Thematic structure</w:t>
            </w:r>
            <w:r w:rsidRPr="009B0D0C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 xml:space="preserve"> [NUTS-</w:t>
            </w:r>
            <w:r w:rsidR="005F7A30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Pr="009B0D0C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, 2007-13, ERDF+CF]</w:t>
            </w:r>
          </w:p>
        </w:tc>
        <w:tc>
          <w:tcPr>
            <w:tcW w:w="670" w:type="pct"/>
            <w:tcBorders>
              <w:top w:val="single" w:sz="18" w:space="0" w:color="FFC000"/>
              <w:bottom w:val="single" w:sz="18" w:space="0" w:color="FFC000"/>
            </w:tcBorders>
            <w:shd w:val="clear" w:color="auto" w:fill="FFCC00"/>
          </w:tcPr>
          <w:p w:rsidR="000B7122" w:rsidRPr="008B04C2" w:rsidRDefault="000B7122" w:rsidP="009A0EAE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Wales</w:t>
            </w:r>
          </w:p>
        </w:tc>
        <w:tc>
          <w:tcPr>
            <w:tcW w:w="671" w:type="pct"/>
            <w:tcBorders>
              <w:top w:val="single" w:sz="18" w:space="0" w:color="FFC000"/>
              <w:bottom w:val="single" w:sz="18" w:space="0" w:color="FFC000"/>
            </w:tcBorders>
            <w:shd w:val="clear" w:color="auto" w:fill="FFCC00"/>
            <w:noWrap/>
          </w:tcPr>
          <w:p w:rsidR="000B7122" w:rsidRPr="008B04C2" w:rsidRDefault="000B7122" w:rsidP="008B04C2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671" w:type="pct"/>
            <w:tcBorders>
              <w:top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FFCC00"/>
            <w:noWrap/>
          </w:tcPr>
          <w:p w:rsidR="000B7122" w:rsidRPr="008B04C2" w:rsidRDefault="000B7122" w:rsidP="009A0EAE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UK</w:t>
            </w:r>
          </w:p>
        </w:tc>
      </w:tr>
      <w:tr w:rsidR="008B04C2" w:rsidRPr="002A3DCE" w:rsidTr="000B7122">
        <w:trPr>
          <w:trHeight w:val="255"/>
        </w:trPr>
        <w:tc>
          <w:tcPr>
            <w:tcW w:w="5000" w:type="pct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shd w:val="clear" w:color="auto" w:fill="FDE9D9" w:themeFill="accent6" w:themeFillTint="33"/>
          </w:tcPr>
          <w:p w:rsidR="008B04C2" w:rsidRPr="00A346B5" w:rsidRDefault="008B04C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A346B5">
              <w:rPr>
                <w:rFonts w:ascii="Corbel" w:eastAsia="Times New Roman" w:hAnsi="Corbel" w:cs="Arial"/>
                <w:b/>
                <w:i/>
                <w:iCs/>
                <w:color w:val="E36C0A" w:themeColor="accent6" w:themeShade="BF"/>
                <w:sz w:val="20"/>
                <w:szCs w:val="20"/>
                <w:lang w:val="en-US"/>
              </w:rPr>
              <w:t>% of allocation</w:t>
            </w:r>
          </w:p>
        </w:tc>
      </w:tr>
      <w:tr w:rsidR="000B7122" w:rsidRPr="008B04C2" w:rsidTr="000B7122">
        <w:trPr>
          <w:trHeight w:val="255"/>
        </w:trPr>
        <w:tc>
          <w:tcPr>
            <w:tcW w:w="2988" w:type="pct"/>
            <w:tcBorders>
              <w:left w:val="single" w:sz="18" w:space="0" w:color="FFC000"/>
            </w:tcBorders>
            <w:noWrap/>
            <w:hideMark/>
          </w:tcPr>
          <w:p w:rsidR="000B7122" w:rsidRPr="00E6181A" w:rsidRDefault="000B7122" w:rsidP="006A6A80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Category A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 xml:space="preserve"> “Innovative environment”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: business support, human resources, IT infrastructure and services, research and technology</w:t>
            </w:r>
          </w:p>
        </w:tc>
        <w:tc>
          <w:tcPr>
            <w:tcW w:w="670" w:type="pct"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44.5%</w:t>
            </w:r>
          </w:p>
        </w:tc>
        <w:tc>
          <w:tcPr>
            <w:tcW w:w="671" w:type="pct"/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68.0%</w:t>
            </w:r>
          </w:p>
        </w:tc>
        <w:tc>
          <w:tcPr>
            <w:tcW w:w="671" w:type="pct"/>
            <w:tcBorders>
              <w:right w:val="single" w:sz="18" w:space="0" w:color="FFC000"/>
            </w:tcBorders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66.0%</w:t>
            </w:r>
          </w:p>
        </w:tc>
      </w:tr>
      <w:tr w:rsidR="000B7122" w:rsidRPr="008B04C2" w:rsidTr="000B7122">
        <w:trPr>
          <w:trHeight w:val="255"/>
        </w:trPr>
        <w:tc>
          <w:tcPr>
            <w:tcW w:w="2988" w:type="pct"/>
            <w:tcBorders>
              <w:left w:val="single" w:sz="18" w:space="0" w:color="FFC000"/>
            </w:tcBorders>
            <w:noWrap/>
            <w:hideMark/>
          </w:tcPr>
          <w:p w:rsidR="000B7122" w:rsidRPr="00E6181A" w:rsidRDefault="000B712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Category B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 xml:space="preserve"> ”Basic infrastructure”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: energy, environment and natural resources, transport infrastructure</w:t>
            </w:r>
          </w:p>
        </w:tc>
        <w:tc>
          <w:tcPr>
            <w:tcW w:w="670" w:type="pct"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41.5%</w:t>
            </w:r>
          </w:p>
        </w:tc>
        <w:tc>
          <w:tcPr>
            <w:tcW w:w="671" w:type="pct"/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9.6%</w:t>
            </w:r>
          </w:p>
        </w:tc>
        <w:tc>
          <w:tcPr>
            <w:tcW w:w="671" w:type="pct"/>
            <w:tcBorders>
              <w:right w:val="single" w:sz="18" w:space="0" w:color="FFC000"/>
            </w:tcBorders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18.9%</w:t>
            </w:r>
          </w:p>
        </w:tc>
      </w:tr>
      <w:tr w:rsidR="000B7122" w:rsidRPr="008B04C2" w:rsidTr="000B7122">
        <w:trPr>
          <w:trHeight w:val="255"/>
        </w:trPr>
        <w:tc>
          <w:tcPr>
            <w:tcW w:w="2988" w:type="pct"/>
            <w:tcBorders>
              <w:left w:val="single" w:sz="18" w:space="0" w:color="FFC000"/>
            </w:tcBorders>
            <w:noWrap/>
            <w:hideMark/>
          </w:tcPr>
          <w:p w:rsidR="000B7122" w:rsidRPr="00E6181A" w:rsidRDefault="000B712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Category C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 xml:space="preserve"> “Quality of life”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: social infrastructure, tourism and culture, urban and rural regeneration</w:t>
            </w:r>
          </w:p>
        </w:tc>
        <w:tc>
          <w:tcPr>
            <w:tcW w:w="670" w:type="pct"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13.0%</w:t>
            </w:r>
          </w:p>
        </w:tc>
        <w:tc>
          <w:tcPr>
            <w:tcW w:w="671" w:type="pct"/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19.8%</w:t>
            </w:r>
          </w:p>
        </w:tc>
        <w:tc>
          <w:tcPr>
            <w:tcW w:w="671" w:type="pct"/>
            <w:tcBorders>
              <w:right w:val="single" w:sz="18" w:space="0" w:color="FFC000"/>
            </w:tcBorders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13.6%</w:t>
            </w:r>
          </w:p>
        </w:tc>
      </w:tr>
      <w:tr w:rsidR="008B04C2" w:rsidRPr="00E6181A" w:rsidTr="000B7122">
        <w:trPr>
          <w:trHeight w:val="255"/>
        </w:trPr>
        <w:tc>
          <w:tcPr>
            <w:tcW w:w="5000" w:type="pct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shd w:val="clear" w:color="auto" w:fill="FDE9D9" w:themeFill="accent6" w:themeFillTint="33"/>
          </w:tcPr>
          <w:p w:rsidR="008B04C2" w:rsidRPr="00E6181A" w:rsidRDefault="008B04C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b/>
                <w:i/>
                <w:iCs/>
                <w:color w:val="E36C0A" w:themeColor="accent6" w:themeShade="BF"/>
                <w:sz w:val="20"/>
                <w:szCs w:val="20"/>
              </w:rPr>
              <w:lastRenderedPageBreak/>
              <w:t>Rate</w:t>
            </w:r>
            <w:proofErr w:type="spellEnd"/>
            <w:r w:rsidRPr="00E6181A">
              <w:rPr>
                <w:rFonts w:ascii="Corbel" w:eastAsia="Times New Roman" w:hAnsi="Corbel" w:cs="Arial"/>
                <w:b/>
                <w:i/>
                <w:iCs/>
                <w:color w:val="E36C0A" w:themeColor="accent6" w:themeShade="BF"/>
                <w:sz w:val="20"/>
                <w:szCs w:val="20"/>
              </w:rPr>
              <w:t xml:space="preserve"> of </w:t>
            </w:r>
            <w:proofErr w:type="spellStart"/>
            <w:r w:rsidRPr="00E6181A">
              <w:rPr>
                <w:rFonts w:ascii="Corbel" w:eastAsia="Times New Roman" w:hAnsi="Corbel" w:cs="Arial"/>
                <w:b/>
                <w:i/>
                <w:iCs/>
                <w:color w:val="E36C0A" w:themeColor="accent6" w:themeShade="BF"/>
                <w:sz w:val="20"/>
                <w:szCs w:val="20"/>
              </w:rPr>
              <w:t>absorption</w:t>
            </w:r>
            <w:proofErr w:type="spellEnd"/>
            <w:r w:rsidRPr="00E6181A">
              <w:rPr>
                <w:rFonts w:ascii="Corbel" w:eastAsia="Times New Roman" w:hAnsi="Corbel" w:cs="Arial"/>
                <w:b/>
                <w:i/>
                <w:iCs/>
                <w:color w:val="E36C0A" w:themeColor="accent6" w:themeShade="BF"/>
                <w:sz w:val="20"/>
                <w:szCs w:val="20"/>
              </w:rPr>
              <w:t xml:space="preserve"> [</w:t>
            </w:r>
            <w:r>
              <w:rPr>
                <w:rFonts w:ascii="Corbel" w:eastAsia="Times New Roman" w:hAnsi="Corbel" w:cs="Arial"/>
                <w:b/>
                <w:i/>
                <w:iCs/>
                <w:color w:val="E36C0A" w:themeColor="accent6" w:themeShade="BF"/>
                <w:sz w:val="20"/>
                <w:szCs w:val="20"/>
              </w:rPr>
              <w:t xml:space="preserve">in </w:t>
            </w:r>
            <w:r w:rsidRPr="00E6181A">
              <w:rPr>
                <w:rFonts w:ascii="Corbel" w:eastAsia="Times New Roman" w:hAnsi="Corbel" w:cs="Arial"/>
                <w:b/>
                <w:i/>
                <w:iCs/>
                <w:color w:val="E36C0A" w:themeColor="accent6" w:themeShade="BF"/>
                <w:sz w:val="20"/>
                <w:szCs w:val="20"/>
              </w:rPr>
              <w:t>2014]</w:t>
            </w:r>
          </w:p>
        </w:tc>
      </w:tr>
      <w:tr w:rsidR="000B7122" w:rsidRPr="008B04C2" w:rsidTr="000B7122">
        <w:trPr>
          <w:trHeight w:val="255"/>
        </w:trPr>
        <w:tc>
          <w:tcPr>
            <w:tcW w:w="2988" w:type="pct"/>
            <w:tcBorders>
              <w:left w:val="single" w:sz="18" w:space="0" w:color="FFC000"/>
            </w:tcBorders>
            <w:noWrap/>
            <w:hideMark/>
          </w:tcPr>
          <w:p w:rsidR="000B7122" w:rsidRPr="00E6181A" w:rsidRDefault="000B712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Category A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 xml:space="preserve"> “Innovative environment”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: business support, human resources, IT infrastructure and services, research and technology</w:t>
            </w:r>
          </w:p>
        </w:tc>
        <w:tc>
          <w:tcPr>
            <w:tcW w:w="670" w:type="pct"/>
          </w:tcPr>
          <w:p w:rsidR="000B7122" w:rsidRPr="006A6A80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71.5%</w:t>
            </w:r>
          </w:p>
        </w:tc>
        <w:tc>
          <w:tcPr>
            <w:tcW w:w="671" w:type="pct"/>
            <w:noWrap/>
          </w:tcPr>
          <w:p w:rsidR="000B7122" w:rsidRPr="006A6A80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73.5%</w:t>
            </w:r>
          </w:p>
        </w:tc>
        <w:tc>
          <w:tcPr>
            <w:tcW w:w="671" w:type="pct"/>
            <w:tcBorders>
              <w:right w:val="single" w:sz="18" w:space="0" w:color="FFC000"/>
            </w:tcBorders>
            <w:noWrap/>
          </w:tcPr>
          <w:p w:rsidR="000B7122" w:rsidRPr="006A6A80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76.9%</w:t>
            </w:r>
          </w:p>
        </w:tc>
      </w:tr>
      <w:tr w:rsidR="000B7122" w:rsidRPr="008B04C2" w:rsidTr="000B7122">
        <w:trPr>
          <w:trHeight w:val="255"/>
        </w:trPr>
        <w:tc>
          <w:tcPr>
            <w:tcW w:w="2988" w:type="pct"/>
            <w:tcBorders>
              <w:left w:val="single" w:sz="18" w:space="0" w:color="FFC000"/>
            </w:tcBorders>
            <w:noWrap/>
            <w:hideMark/>
          </w:tcPr>
          <w:p w:rsidR="000B7122" w:rsidRPr="00E6181A" w:rsidRDefault="000B712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Category B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 xml:space="preserve"> ”Basic infrastructure”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: energy, environment and natural resources, transport infrastructure</w:t>
            </w:r>
          </w:p>
        </w:tc>
        <w:tc>
          <w:tcPr>
            <w:tcW w:w="670" w:type="pct"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71.1%</w:t>
            </w:r>
          </w:p>
        </w:tc>
        <w:tc>
          <w:tcPr>
            <w:tcW w:w="671" w:type="pct"/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67.2%</w:t>
            </w:r>
          </w:p>
        </w:tc>
        <w:tc>
          <w:tcPr>
            <w:tcW w:w="671" w:type="pct"/>
            <w:tcBorders>
              <w:right w:val="single" w:sz="18" w:space="0" w:color="FFC000"/>
            </w:tcBorders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71.0%</w:t>
            </w:r>
          </w:p>
        </w:tc>
      </w:tr>
      <w:tr w:rsidR="000B7122" w:rsidRPr="008B04C2" w:rsidTr="000B7122">
        <w:trPr>
          <w:trHeight w:val="255"/>
        </w:trPr>
        <w:tc>
          <w:tcPr>
            <w:tcW w:w="2988" w:type="pct"/>
            <w:tcBorders>
              <w:left w:val="single" w:sz="18" w:space="0" w:color="FFC000"/>
              <w:bottom w:val="single" w:sz="18" w:space="0" w:color="FFC000"/>
            </w:tcBorders>
            <w:noWrap/>
            <w:hideMark/>
          </w:tcPr>
          <w:p w:rsidR="000B7122" w:rsidRPr="00E6181A" w:rsidRDefault="000B712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Category C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 xml:space="preserve"> “Quality of life”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: social infrastructure, tourism and culture, urban and rural regeneration</w:t>
            </w:r>
          </w:p>
        </w:tc>
        <w:tc>
          <w:tcPr>
            <w:tcW w:w="670" w:type="pct"/>
            <w:tcBorders>
              <w:bottom w:val="single" w:sz="18" w:space="0" w:color="FFC000"/>
            </w:tcBorders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70.1%</w:t>
            </w:r>
          </w:p>
        </w:tc>
        <w:tc>
          <w:tcPr>
            <w:tcW w:w="671" w:type="pct"/>
            <w:tcBorders>
              <w:bottom w:val="single" w:sz="18" w:space="0" w:color="FFC000"/>
            </w:tcBorders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77.7%</w:t>
            </w:r>
          </w:p>
        </w:tc>
        <w:tc>
          <w:tcPr>
            <w:tcW w:w="671" w:type="pct"/>
            <w:tcBorders>
              <w:bottom w:val="single" w:sz="18" w:space="0" w:color="FFC000"/>
              <w:right w:val="single" w:sz="18" w:space="0" w:color="FFC000"/>
            </w:tcBorders>
            <w:noWrap/>
          </w:tcPr>
          <w:p w:rsidR="000B7122" w:rsidRPr="008B04C2" w:rsidRDefault="000B7122" w:rsidP="009B0D0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72.4%</w:t>
            </w:r>
          </w:p>
        </w:tc>
      </w:tr>
    </w:tbl>
    <w:p w:rsidR="00E6652E" w:rsidRPr="003864D3" w:rsidRDefault="003864D3" w:rsidP="003C750D">
      <w:pPr>
        <w:jc w:val="both"/>
        <w:rPr>
          <w:rFonts w:ascii="Corbel" w:eastAsia="MS Mincho" w:hAnsi="Corbel" w:cs="Times New Roman"/>
          <w:noProof/>
          <w:color w:val="404040"/>
          <w:sz w:val="20"/>
          <w:szCs w:val="24"/>
          <w:lang w:val="en-GB" w:eastAsia="ja-JP"/>
        </w:rPr>
      </w:pPr>
      <w:r w:rsidRPr="003864D3">
        <w:rPr>
          <w:rFonts w:ascii="Corbel" w:eastAsia="MS Mincho" w:hAnsi="Corbel" w:cs="Times New Roman"/>
          <w:noProof/>
          <w:color w:val="404040"/>
          <w:sz w:val="20"/>
          <w:szCs w:val="24"/>
          <w:lang w:val="en-GB" w:eastAsia="ja-JP"/>
        </w:rPr>
        <w:t xml:space="preserve">* % of allocation does not add to 1, because the “technical assistance” is not included in any of the categories. </w:t>
      </w:r>
    </w:p>
    <w:p w:rsidR="00B35E07" w:rsidRDefault="005903F7" w:rsidP="003C750D">
      <w:pPr>
        <w:jc w:val="both"/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</w:pPr>
      <w:r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The thematic structure of allocation </w:t>
      </w:r>
      <w:r w:rsidR="009E05D5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shows a different pattern across analysed regions. Although the Category A, clustering mainly investments in an innovative environment, is a top priority across all the regions, the shares of allocations dedicated to this goal range from 44.5% in Wales up to </w:t>
      </w:r>
      <w:r w:rsidR="000B7122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>68</w:t>
      </w:r>
      <w:r w:rsidR="009E05D5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% in </w:t>
      </w:r>
      <w:r w:rsidR="000B7122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>Scotland</w:t>
      </w:r>
      <w:r w:rsidR="009E05D5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. The Category B plays a relatively important role only in Wales, while allocations to the Category C </w:t>
      </w:r>
      <w:r w:rsidR="000B7122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>departs from</w:t>
      </w:r>
      <w:r w:rsidR="009E05D5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 the national average only in Scotland. </w:t>
      </w:r>
      <w:r w:rsidR="003864D3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The rate of absorption broken down by thematic categories shows </w:t>
      </w:r>
      <w:r w:rsidR="00EE6A5D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a very well balanced spending in case of </w:t>
      </w:r>
      <w:r w:rsidR="00E03A26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Wales and, </w:t>
      </w:r>
      <w:r w:rsidR="000B7122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although </w:t>
      </w:r>
      <w:r w:rsidR="00E03A26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to a lesser extent, in </w:t>
      </w:r>
      <w:r w:rsidR="000B7122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case of </w:t>
      </w:r>
      <w:r w:rsidR="00E03A26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Scotland. </w:t>
      </w:r>
    </w:p>
    <w:tbl>
      <w:tblPr>
        <w:tblStyle w:val="Tabela-Siatka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334"/>
        <w:gridCol w:w="1144"/>
        <w:gridCol w:w="1148"/>
        <w:gridCol w:w="1023"/>
        <w:gridCol w:w="1267"/>
      </w:tblGrid>
      <w:tr w:rsidR="00600992" w:rsidRPr="00B35E07" w:rsidTr="00600992">
        <w:trPr>
          <w:trHeight w:val="255"/>
        </w:trPr>
        <w:tc>
          <w:tcPr>
            <w:tcW w:w="268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</w:tcBorders>
            <w:shd w:val="clear" w:color="auto" w:fill="95B3D7" w:themeFill="accent1" w:themeFillTint="99"/>
            <w:noWrap/>
            <w:hideMark/>
          </w:tcPr>
          <w:p w:rsidR="00600992" w:rsidRPr="00B35E07" w:rsidRDefault="00600992" w:rsidP="004835EF">
            <w:pPr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en-US"/>
              </w:rPr>
            </w:pPr>
            <w:r w:rsidRPr="00B35E07">
              <w:rPr>
                <w:rFonts w:ascii="Corbel" w:eastAsia="Times New Roman" w:hAnsi="Corbe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Regional OP </w:t>
            </w:r>
            <w:r w:rsidRPr="00B35E07">
              <w:rPr>
                <w:rFonts w:ascii="Corbel" w:eastAsia="Times New Roman" w:hAnsi="Corbel" w:cs="Arial"/>
                <w:bCs/>
                <w:color w:val="000000"/>
                <w:sz w:val="20"/>
                <w:szCs w:val="20"/>
                <w:lang w:val="en-US"/>
              </w:rPr>
              <w:t>[ERDF]</w:t>
            </w:r>
          </w:p>
        </w:tc>
        <w:tc>
          <w:tcPr>
            <w:tcW w:w="577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95B3D7" w:themeFill="accent1" w:themeFillTint="99"/>
          </w:tcPr>
          <w:p w:rsidR="00600992" w:rsidRPr="008B04C2" w:rsidRDefault="00600992" w:rsidP="009A0EAE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Wales</w:t>
            </w:r>
          </w:p>
        </w:tc>
        <w:tc>
          <w:tcPr>
            <w:tcW w:w="579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95B3D7" w:themeFill="accent1" w:themeFillTint="99"/>
            <w:noWrap/>
          </w:tcPr>
          <w:p w:rsidR="00600992" w:rsidRPr="008B04C2" w:rsidRDefault="00600992" w:rsidP="008B04C2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 w:rsidRPr="008B04C2"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 xml:space="preserve">Scotland </w:t>
            </w:r>
          </w:p>
        </w:tc>
        <w:tc>
          <w:tcPr>
            <w:tcW w:w="516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95B3D7" w:themeFill="accent1" w:themeFillTint="99"/>
            <w:noWrap/>
          </w:tcPr>
          <w:p w:rsidR="00600992" w:rsidRPr="008B04C2" w:rsidRDefault="00600992" w:rsidP="009A0EAE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UK</w:t>
            </w:r>
          </w:p>
        </w:tc>
        <w:tc>
          <w:tcPr>
            <w:tcW w:w="639" w:type="pct"/>
            <w:tcBorders>
              <w:top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95B3D7" w:themeFill="accent1" w:themeFillTint="99"/>
            <w:noWrap/>
            <w:hideMark/>
          </w:tcPr>
          <w:p w:rsidR="00600992" w:rsidRPr="00B35E07" w:rsidRDefault="00600992" w:rsidP="009B0D0C">
            <w:pPr>
              <w:jc w:val="center"/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</w:pPr>
            <w:r w:rsidRPr="00B35E07">
              <w:rPr>
                <w:rFonts w:ascii="Corbel" w:eastAsia="Times New Roman" w:hAnsi="Corbel" w:cs="Arial"/>
                <w:b/>
                <w:color w:val="000000"/>
                <w:sz w:val="20"/>
                <w:szCs w:val="20"/>
                <w:lang w:val="en-US"/>
              </w:rPr>
              <w:t>Unit</w:t>
            </w:r>
          </w:p>
        </w:tc>
      </w:tr>
      <w:tr w:rsidR="008B04C2" w:rsidRPr="00B35E07" w:rsidTr="00600992">
        <w:trPr>
          <w:trHeight w:val="255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</w:tcPr>
          <w:p w:rsidR="008B04C2" w:rsidRPr="00B35E07" w:rsidRDefault="008B04C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B35E07">
              <w:rPr>
                <w:rFonts w:ascii="Corbel" w:eastAsia="Times New Roman" w:hAnsi="Corbel" w:cs="Arial"/>
                <w:b/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Allocations to Regional OPs</w:t>
            </w:r>
          </w:p>
        </w:tc>
      </w:tr>
      <w:tr w:rsidR="00600992" w:rsidRPr="00E6181A" w:rsidTr="00600992">
        <w:trPr>
          <w:trHeight w:val="255"/>
        </w:trPr>
        <w:tc>
          <w:tcPr>
            <w:tcW w:w="2689" w:type="pct"/>
            <w:tcBorders>
              <w:left w:val="single" w:sz="18" w:space="0" w:color="0070C0"/>
            </w:tcBorders>
            <w:noWrap/>
            <w:hideMark/>
          </w:tcPr>
          <w:p w:rsidR="00600992" w:rsidRPr="00E6181A" w:rsidRDefault="00600992" w:rsidP="003946EE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B35E07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Allocatio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n 2007-2013</w:t>
            </w:r>
          </w:p>
        </w:tc>
        <w:tc>
          <w:tcPr>
            <w:tcW w:w="577" w:type="pct"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1370.7</w:t>
            </w:r>
          </w:p>
        </w:tc>
        <w:tc>
          <w:tcPr>
            <w:tcW w:w="579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525.0</w:t>
            </w:r>
          </w:p>
        </w:tc>
        <w:tc>
          <w:tcPr>
            <w:tcW w:w="516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5679.0</w:t>
            </w:r>
          </w:p>
        </w:tc>
        <w:tc>
          <w:tcPr>
            <w:tcW w:w="639" w:type="pct"/>
            <w:tcBorders>
              <w:right w:val="single" w:sz="18" w:space="0" w:color="0070C0"/>
            </w:tcBorders>
            <w:noWrap/>
            <w:hideMark/>
          </w:tcPr>
          <w:p w:rsidR="00600992" w:rsidRPr="00E6181A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mln EUR</w:t>
            </w:r>
          </w:p>
        </w:tc>
      </w:tr>
      <w:tr w:rsidR="00600992" w:rsidRPr="00E6181A" w:rsidTr="00600992">
        <w:trPr>
          <w:trHeight w:val="255"/>
        </w:trPr>
        <w:tc>
          <w:tcPr>
            <w:tcW w:w="2689" w:type="pct"/>
            <w:tcBorders>
              <w:left w:val="single" w:sz="18" w:space="0" w:color="0070C0"/>
            </w:tcBorders>
            <w:noWrap/>
            <w:hideMark/>
          </w:tcPr>
          <w:p w:rsidR="00600992" w:rsidRPr="00E6181A" w:rsidRDefault="00600992" w:rsidP="003946EE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A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llocation</w:t>
            </w:r>
            <w:proofErr w:type="spellEnd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2014-2020</w:t>
            </w:r>
          </w:p>
        </w:tc>
        <w:tc>
          <w:tcPr>
            <w:tcW w:w="577" w:type="pct"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1406.8</w:t>
            </w:r>
          </w:p>
        </w:tc>
        <w:tc>
          <w:tcPr>
            <w:tcW w:w="579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476.8</w:t>
            </w:r>
          </w:p>
        </w:tc>
        <w:tc>
          <w:tcPr>
            <w:tcW w:w="516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5825.6</w:t>
            </w:r>
          </w:p>
        </w:tc>
        <w:tc>
          <w:tcPr>
            <w:tcW w:w="639" w:type="pct"/>
            <w:tcBorders>
              <w:right w:val="single" w:sz="18" w:space="0" w:color="0070C0"/>
            </w:tcBorders>
            <w:noWrap/>
            <w:hideMark/>
          </w:tcPr>
          <w:p w:rsidR="00600992" w:rsidRPr="00E6181A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mln EUR</w:t>
            </w:r>
          </w:p>
        </w:tc>
      </w:tr>
      <w:tr w:rsidR="00600992" w:rsidRPr="00E6181A" w:rsidTr="00600992">
        <w:trPr>
          <w:trHeight w:val="255"/>
        </w:trPr>
        <w:tc>
          <w:tcPr>
            <w:tcW w:w="2689" w:type="pct"/>
            <w:tcBorders>
              <w:left w:val="single" w:sz="18" w:space="0" w:color="0070C0"/>
            </w:tcBorders>
            <w:noWrap/>
            <w:hideMark/>
          </w:tcPr>
          <w:p w:rsidR="00600992" w:rsidRPr="00E6181A" w:rsidRDefault="00600992" w:rsidP="003946EE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Ratio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[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period 2014-2020 to 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20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07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-20</w:t>
            </w: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13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577" w:type="pct"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579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16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639" w:type="pct"/>
            <w:tcBorders>
              <w:right w:val="single" w:sz="18" w:space="0" w:color="0070C0"/>
            </w:tcBorders>
            <w:noWrap/>
            <w:hideMark/>
          </w:tcPr>
          <w:p w:rsidR="00600992" w:rsidRPr="00E6181A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ratio</w:t>
            </w:r>
          </w:p>
        </w:tc>
      </w:tr>
      <w:tr w:rsidR="008B04C2" w:rsidRPr="005F7A30" w:rsidTr="00600992">
        <w:trPr>
          <w:trHeight w:val="255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</w:tcPr>
          <w:p w:rsidR="008B04C2" w:rsidRPr="004A7819" w:rsidRDefault="008B04C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 w:rsidRPr="004A7819">
              <w:rPr>
                <w:rFonts w:ascii="Corbel" w:eastAsia="Times New Roman" w:hAnsi="Corbel" w:cs="Arial"/>
                <w:b/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Reported achievements</w:t>
            </w:r>
            <w:r w:rsidR="00DC5F7D">
              <w:rPr>
                <w:rFonts w:ascii="Corbel" w:eastAsia="Times New Roman" w:hAnsi="Corbel" w:cs="Arial"/>
                <w:b/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>:</w:t>
            </w:r>
            <w:r w:rsidRPr="004A7819">
              <w:rPr>
                <w:rFonts w:ascii="Corbel" w:eastAsia="Times New Roman" w:hAnsi="Corbel" w:cs="Arial"/>
                <w:b/>
                <w:i/>
                <w:iCs/>
                <w:color w:val="17365D" w:themeColor="text2" w:themeShade="BF"/>
                <w:sz w:val="20"/>
                <w:szCs w:val="20"/>
                <w:lang w:val="en-US"/>
              </w:rPr>
              <w:t xml:space="preserve"> period 2007-2013  [as in 2013]</w:t>
            </w:r>
          </w:p>
        </w:tc>
      </w:tr>
      <w:tr w:rsidR="00600992" w:rsidRPr="00E6181A" w:rsidTr="00600992">
        <w:trPr>
          <w:trHeight w:val="255"/>
        </w:trPr>
        <w:tc>
          <w:tcPr>
            <w:tcW w:w="2689" w:type="pct"/>
            <w:tcBorders>
              <w:left w:val="single" w:sz="18" w:space="0" w:color="0070C0"/>
            </w:tcBorders>
            <w:noWrap/>
            <w:hideMark/>
          </w:tcPr>
          <w:p w:rsidR="00600992" w:rsidRPr="00E6181A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Jobs</w:t>
            </w:r>
            <w:proofErr w:type="spellEnd"/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created</w:t>
            </w:r>
            <w:proofErr w:type="spellEnd"/>
          </w:p>
        </w:tc>
        <w:tc>
          <w:tcPr>
            <w:tcW w:w="577" w:type="pct"/>
          </w:tcPr>
          <w:p w:rsidR="00600992" w:rsidRPr="00E6181A" w:rsidRDefault="00600992" w:rsidP="00DE4BCB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23649</w:t>
            </w:r>
          </w:p>
        </w:tc>
        <w:tc>
          <w:tcPr>
            <w:tcW w:w="579" w:type="pct"/>
            <w:noWrap/>
          </w:tcPr>
          <w:p w:rsidR="00600992" w:rsidRPr="00E6181A" w:rsidRDefault="00600992" w:rsidP="00DE4BCB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32364</w:t>
            </w:r>
          </w:p>
        </w:tc>
        <w:tc>
          <w:tcPr>
            <w:tcW w:w="516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150339</w:t>
            </w:r>
          </w:p>
        </w:tc>
        <w:tc>
          <w:tcPr>
            <w:tcW w:w="639" w:type="pct"/>
            <w:tcBorders>
              <w:right w:val="single" w:sz="18" w:space="0" w:color="0070C0"/>
            </w:tcBorders>
            <w:noWrap/>
            <w:hideMark/>
          </w:tcPr>
          <w:p w:rsidR="00600992" w:rsidRPr="00E6181A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proofErr w:type="spellStart"/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jobs</w:t>
            </w:r>
            <w:proofErr w:type="spellEnd"/>
          </w:p>
        </w:tc>
      </w:tr>
      <w:tr w:rsidR="00600992" w:rsidRPr="00E6181A" w:rsidTr="00600992">
        <w:trPr>
          <w:trHeight w:val="255"/>
        </w:trPr>
        <w:tc>
          <w:tcPr>
            <w:tcW w:w="2689" w:type="pct"/>
            <w:tcBorders>
              <w:left w:val="single" w:sz="18" w:space="0" w:color="0070C0"/>
            </w:tcBorders>
            <w:noWrap/>
            <w:hideMark/>
          </w:tcPr>
          <w:p w:rsidR="00600992" w:rsidRPr="00E6181A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S</w:t>
            </w:r>
            <w:r w:rsidRPr="00E6181A"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tart-ups supported</w:t>
            </w:r>
          </w:p>
        </w:tc>
        <w:tc>
          <w:tcPr>
            <w:tcW w:w="577" w:type="pct"/>
          </w:tcPr>
          <w:p w:rsidR="00600992" w:rsidRPr="00E6181A" w:rsidRDefault="00600992" w:rsidP="00967B5C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7574</w:t>
            </w:r>
          </w:p>
        </w:tc>
        <w:tc>
          <w:tcPr>
            <w:tcW w:w="579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12866</w:t>
            </w:r>
          </w:p>
        </w:tc>
        <w:tc>
          <w:tcPr>
            <w:tcW w:w="516" w:type="pct"/>
            <w:noWrap/>
          </w:tcPr>
          <w:p w:rsidR="00600992" w:rsidRPr="00E6181A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52759</w:t>
            </w:r>
          </w:p>
        </w:tc>
        <w:tc>
          <w:tcPr>
            <w:tcW w:w="639" w:type="pct"/>
            <w:tcBorders>
              <w:right w:val="single" w:sz="18" w:space="0" w:color="0070C0"/>
            </w:tcBorders>
            <w:noWrap/>
            <w:hideMark/>
          </w:tcPr>
          <w:p w:rsidR="00600992" w:rsidRPr="00E6181A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start-</w:t>
            </w:r>
            <w:proofErr w:type="spellStart"/>
            <w:r>
              <w:rPr>
                <w:rFonts w:ascii="Corbel" w:eastAsia="Times New Roman" w:hAnsi="Corbel" w:cs="Arial"/>
                <w:color w:val="000000"/>
                <w:sz w:val="20"/>
                <w:szCs w:val="20"/>
              </w:rPr>
              <w:t>ups</w:t>
            </w:r>
            <w:proofErr w:type="spellEnd"/>
          </w:p>
        </w:tc>
      </w:tr>
      <w:tr w:rsidR="00600992" w:rsidRPr="004D208B" w:rsidTr="00600992">
        <w:trPr>
          <w:trHeight w:val="255"/>
        </w:trPr>
        <w:tc>
          <w:tcPr>
            <w:tcW w:w="2689" w:type="pct"/>
            <w:tcBorders>
              <w:left w:val="single" w:sz="18" w:space="0" w:color="0070C0"/>
            </w:tcBorders>
            <w:noWrap/>
          </w:tcPr>
          <w:p w:rsidR="00600992" w:rsidRPr="004D208B" w:rsidRDefault="00600992" w:rsidP="006C487E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Enterprises receiving financial support</w:t>
            </w:r>
          </w:p>
        </w:tc>
        <w:tc>
          <w:tcPr>
            <w:tcW w:w="577" w:type="pct"/>
          </w:tcPr>
          <w:p w:rsidR="00600992" w:rsidRPr="004D208B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2627</w:t>
            </w:r>
          </w:p>
        </w:tc>
        <w:tc>
          <w:tcPr>
            <w:tcW w:w="579" w:type="pct"/>
            <w:noWrap/>
          </w:tcPr>
          <w:p w:rsidR="00600992" w:rsidRPr="004D208B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7416</w:t>
            </w:r>
          </w:p>
        </w:tc>
        <w:tc>
          <w:tcPr>
            <w:tcW w:w="516" w:type="pct"/>
            <w:noWrap/>
          </w:tcPr>
          <w:p w:rsidR="00600992" w:rsidRPr="004D208B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no data</w:t>
            </w:r>
          </w:p>
        </w:tc>
        <w:tc>
          <w:tcPr>
            <w:tcW w:w="639" w:type="pct"/>
            <w:tcBorders>
              <w:right w:val="single" w:sz="18" w:space="0" w:color="0070C0"/>
            </w:tcBorders>
            <w:noWrap/>
          </w:tcPr>
          <w:p w:rsidR="00600992" w:rsidRPr="004D208B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enterprises</w:t>
            </w:r>
          </w:p>
        </w:tc>
      </w:tr>
      <w:tr w:rsidR="00600992" w:rsidRPr="00060949" w:rsidTr="00600992">
        <w:trPr>
          <w:trHeight w:val="255"/>
        </w:trPr>
        <w:tc>
          <w:tcPr>
            <w:tcW w:w="2689" w:type="pct"/>
            <w:tcBorders>
              <w:left w:val="single" w:sz="18" w:space="0" w:color="0070C0"/>
              <w:bottom w:val="single" w:sz="18" w:space="0" w:color="0070C0"/>
            </w:tcBorders>
            <w:noWrap/>
          </w:tcPr>
          <w:p w:rsidR="00600992" w:rsidRPr="00E6181A" w:rsidRDefault="00600992" w:rsidP="003946EE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Cooperation projects enterprises-research institutions</w:t>
            </w:r>
          </w:p>
        </w:tc>
        <w:tc>
          <w:tcPr>
            <w:tcW w:w="577" w:type="pct"/>
            <w:tcBorders>
              <w:bottom w:val="single" w:sz="18" w:space="0" w:color="0070C0"/>
            </w:tcBorders>
          </w:tcPr>
          <w:p w:rsidR="00600992" w:rsidRPr="008B04C2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983</w:t>
            </w:r>
          </w:p>
        </w:tc>
        <w:tc>
          <w:tcPr>
            <w:tcW w:w="579" w:type="pct"/>
            <w:tcBorders>
              <w:bottom w:val="single" w:sz="18" w:space="0" w:color="0070C0"/>
            </w:tcBorders>
            <w:noWrap/>
          </w:tcPr>
          <w:p w:rsidR="00600992" w:rsidRPr="008B04C2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2817</w:t>
            </w:r>
          </w:p>
        </w:tc>
        <w:tc>
          <w:tcPr>
            <w:tcW w:w="516" w:type="pct"/>
            <w:tcBorders>
              <w:bottom w:val="single" w:sz="18" w:space="0" w:color="0070C0"/>
            </w:tcBorders>
            <w:noWrap/>
          </w:tcPr>
          <w:p w:rsidR="00600992" w:rsidRPr="008B04C2" w:rsidRDefault="00600992" w:rsidP="004835EF">
            <w:pPr>
              <w:jc w:val="right"/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7341</w:t>
            </w:r>
          </w:p>
        </w:tc>
        <w:tc>
          <w:tcPr>
            <w:tcW w:w="639" w:type="pct"/>
            <w:tcBorders>
              <w:bottom w:val="single" w:sz="18" w:space="0" w:color="0070C0"/>
              <w:right w:val="single" w:sz="18" w:space="0" w:color="0070C0"/>
            </w:tcBorders>
            <w:noWrap/>
          </w:tcPr>
          <w:p w:rsidR="00600992" w:rsidRPr="00060949" w:rsidRDefault="00600992" w:rsidP="004835EF">
            <w:pP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orbel" w:eastAsia="Times New Roman" w:hAnsi="Corbel" w:cs="Arial"/>
                <w:color w:val="000000"/>
                <w:sz w:val="20"/>
                <w:szCs w:val="20"/>
                <w:lang w:val="en-US"/>
              </w:rPr>
              <w:t>projects</w:t>
            </w:r>
          </w:p>
        </w:tc>
      </w:tr>
    </w:tbl>
    <w:p w:rsidR="00CF49DA" w:rsidRDefault="00CF49DA" w:rsidP="000B775D">
      <w:pPr>
        <w:jc w:val="both"/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</w:pPr>
    </w:p>
    <w:p w:rsidR="003C750D" w:rsidRPr="000867D9" w:rsidRDefault="00CF49DA" w:rsidP="000867D9">
      <w:pPr>
        <w:jc w:val="both"/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</w:pPr>
      <w:r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The Structural Funds implementation system in the UK has undergone a significant centralization </w:t>
      </w:r>
      <w:r w:rsidR="00E03A26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>over the last two programming periods. In the period 2007-2013 the funds was channelled through 16 regional OPs, while in the 2014-2020 per</w:t>
      </w:r>
      <w:r w:rsidR="000B7122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>iod this number diminished to 6</w:t>
      </w:r>
      <w:r w:rsidR="00E03A26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. </w:t>
      </w:r>
      <w:r w:rsidR="000B7122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However, both </w:t>
      </w:r>
      <w:r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Wales and Scotland retained their regional OPs, with </w:t>
      </w:r>
      <w:r w:rsidR="000B7122"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only </w:t>
      </w:r>
      <w:r>
        <w:rPr>
          <w:rFonts w:ascii="Corbel" w:eastAsia="MS Mincho" w:hAnsi="Corbel" w:cs="Times New Roman"/>
          <w:noProof/>
          <w:color w:val="404040"/>
          <w:sz w:val="24"/>
          <w:szCs w:val="24"/>
          <w:lang w:val="en-GB" w:eastAsia="ja-JP"/>
        </w:rPr>
        <w:t xml:space="preserve">a minor change in the allocations. </w:t>
      </w:r>
      <w:r w:rsidR="000B7122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Looking at the reported achievements, relation between the</w:t>
      </w:r>
      <w:r w:rsidR="000B775D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</w:t>
      </w:r>
      <w:r w:rsidR="00986730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number of jobs</w:t>
      </w:r>
      <w:r w:rsidR="000B775D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</w:t>
      </w:r>
      <w:r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created </w:t>
      </w:r>
      <w:r w:rsidR="000B7122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and</w:t>
      </w:r>
      <w:r w:rsidR="00986730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the programme allocations </w:t>
      </w:r>
      <w:r w:rsidR="000B775D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suggest</w:t>
      </w:r>
      <w:r w:rsidR="00986730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s</w:t>
      </w:r>
      <w:r w:rsidR="000B775D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that</w:t>
      </w:r>
      <w:r w:rsidR="00986730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</w:t>
      </w:r>
      <w:r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Scotland’s OP is </w:t>
      </w:r>
      <w:r w:rsidR="00600992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very</w:t>
      </w:r>
      <w:r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efficient </w:t>
      </w:r>
      <w:r w:rsidR="00600992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in this regard</w:t>
      </w:r>
      <w:r w:rsidR="00986730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.</w:t>
      </w:r>
      <w:r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A relatively good performance of this programme is confirmed by other reported achievements as well, </w:t>
      </w:r>
      <w:r w:rsidR="004838DF"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>specifically</w:t>
      </w:r>
      <w:r>
        <w:rPr>
          <w:rFonts w:ascii="Corbel" w:eastAsia="MS Mincho" w:hAnsi="Corbel" w:cs="Times New Roman"/>
          <w:color w:val="404040"/>
          <w:sz w:val="24"/>
          <w:szCs w:val="24"/>
          <w:lang w:val="en-GB" w:eastAsia="ja-JP"/>
        </w:rPr>
        <w:t xml:space="preserve"> with regard to number of enterprises receiving financial support. </w:t>
      </w:r>
    </w:p>
    <w:sectPr w:rsidR="003C750D" w:rsidRPr="000867D9" w:rsidSect="003C750D">
      <w:headerReference w:type="default" r:id="rId8"/>
      <w:footerReference w:type="default" r:id="rId9"/>
      <w:pgSz w:w="11906" w:h="16838"/>
      <w:pgMar w:top="1843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06" w:rsidRDefault="00300906" w:rsidP="008070D0">
      <w:pPr>
        <w:spacing w:after="0" w:line="240" w:lineRule="auto"/>
      </w:pPr>
      <w:r>
        <w:separator/>
      </w:r>
    </w:p>
  </w:endnote>
  <w:endnote w:type="continuationSeparator" w:id="0">
    <w:p w:rsidR="00300906" w:rsidRDefault="00300906" w:rsidP="0080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D0" w:rsidRPr="008070D0" w:rsidRDefault="008070D0" w:rsidP="008070D0">
    <w:pPr>
      <w:ind w:left="1134"/>
      <w:rPr>
        <w:rFonts w:cs="Arial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-108610</wp:posOffset>
          </wp:positionH>
          <wp:positionV relativeFrom="paragraph">
            <wp:posOffset>6828</wp:posOffset>
          </wp:positionV>
          <wp:extent cx="577702" cy="380010"/>
          <wp:effectExtent l="19050" t="0" r="0" b="0"/>
          <wp:wrapNone/>
          <wp:docPr id="7" name="Image 3" descr="Macintosh HD:Users:Sara:Dropbox:DOCS w Reynald:COHESIFY: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Macintosh HD:Users:Sara:Dropbox:DOCS w Reynald:COHESIFY:flag_yellow_hig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02" cy="3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-1974850</wp:posOffset>
          </wp:positionH>
          <wp:positionV relativeFrom="paragraph">
            <wp:posOffset>815340</wp:posOffset>
          </wp:positionV>
          <wp:extent cx="8604250" cy="342900"/>
          <wp:effectExtent l="0" t="0" r="6350" b="0"/>
          <wp:wrapNone/>
          <wp:docPr id="9" name="Picture 5" descr="Macintosh HD:Users:SARA:Dropbox:DOCS w/ Reynald:COHESIFY:footer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SARA:Dropbox:DOCS w/ Reynald:COHESIFY:footer 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70D0">
      <w:rPr>
        <w:sz w:val="18"/>
        <w:szCs w:val="18"/>
        <w:lang w:val="en-US"/>
      </w:rPr>
      <w:t xml:space="preserve">The COHESIFY project (February 2016-April 2018) has received funding from the European Union’s Horizon 2020 research and innovation </w:t>
    </w:r>
    <w:proofErr w:type="spellStart"/>
    <w:r w:rsidRPr="008070D0">
      <w:rPr>
        <w:sz w:val="18"/>
        <w:szCs w:val="18"/>
        <w:lang w:val="en-US"/>
      </w:rPr>
      <w:t>programme</w:t>
    </w:r>
    <w:proofErr w:type="spellEnd"/>
    <w:r w:rsidRPr="008070D0">
      <w:rPr>
        <w:sz w:val="18"/>
        <w:szCs w:val="18"/>
        <w:lang w:val="en-US"/>
      </w:rPr>
      <w:t xml:space="preserve"> under grant agreement No. 693127</w:t>
    </w:r>
  </w:p>
  <w:p w:rsidR="008070D0" w:rsidRPr="008070D0" w:rsidRDefault="008070D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06" w:rsidRDefault="00300906" w:rsidP="008070D0">
      <w:pPr>
        <w:spacing w:after="0" w:line="240" w:lineRule="auto"/>
      </w:pPr>
      <w:r>
        <w:separator/>
      </w:r>
    </w:p>
  </w:footnote>
  <w:footnote w:type="continuationSeparator" w:id="0">
    <w:p w:rsidR="00300906" w:rsidRDefault="00300906" w:rsidP="0080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D0" w:rsidRDefault="00401CB1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4331154</wp:posOffset>
          </wp:positionH>
          <wp:positionV relativeFrom="paragraph">
            <wp:posOffset>-325755</wp:posOffset>
          </wp:positionV>
          <wp:extent cx="2295525" cy="1021509"/>
          <wp:effectExtent l="0" t="0" r="0" b="0"/>
          <wp:wrapNone/>
          <wp:docPr id="1" name="Obraz 1" descr="C:\Users\Gaba\AppData\Local\Temp\Cohesify-logo-horizontal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a\AppData\Local\Temp\Cohesify-logo-horizontal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2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 Ploszaj">
    <w15:presenceInfo w15:providerId="Windows Live" w15:userId="068e2a2a15605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0NTCwNDY1MTM1N7ZQ0lEKTi0uzszPAykwrAUAPbYzXCwAAAA="/>
  </w:docVars>
  <w:rsids>
    <w:rsidRoot w:val="00A56F2A"/>
    <w:rsid w:val="00020410"/>
    <w:rsid w:val="0003713C"/>
    <w:rsid w:val="00041C48"/>
    <w:rsid w:val="00060949"/>
    <w:rsid w:val="000867D9"/>
    <w:rsid w:val="00094052"/>
    <w:rsid w:val="000B7122"/>
    <w:rsid w:val="000B775D"/>
    <w:rsid w:val="000E6E42"/>
    <w:rsid w:val="001209B1"/>
    <w:rsid w:val="001222B7"/>
    <w:rsid w:val="00127195"/>
    <w:rsid w:val="00130863"/>
    <w:rsid w:val="001776B7"/>
    <w:rsid w:val="001F3CED"/>
    <w:rsid w:val="00211151"/>
    <w:rsid w:val="00221148"/>
    <w:rsid w:val="00227060"/>
    <w:rsid w:val="00251FE3"/>
    <w:rsid w:val="00262AC8"/>
    <w:rsid w:val="00294768"/>
    <w:rsid w:val="002A3DCE"/>
    <w:rsid w:val="002D268A"/>
    <w:rsid w:val="00300906"/>
    <w:rsid w:val="00303CBA"/>
    <w:rsid w:val="003661B4"/>
    <w:rsid w:val="00366A75"/>
    <w:rsid w:val="003864D3"/>
    <w:rsid w:val="00386949"/>
    <w:rsid w:val="003946EE"/>
    <w:rsid w:val="003B331E"/>
    <w:rsid w:val="003C750D"/>
    <w:rsid w:val="00401CB1"/>
    <w:rsid w:val="00451674"/>
    <w:rsid w:val="004766EA"/>
    <w:rsid w:val="004838DF"/>
    <w:rsid w:val="00496634"/>
    <w:rsid w:val="004A7819"/>
    <w:rsid w:val="004B7124"/>
    <w:rsid w:val="004D208B"/>
    <w:rsid w:val="00571C5F"/>
    <w:rsid w:val="005903F7"/>
    <w:rsid w:val="005F7A30"/>
    <w:rsid w:val="00600992"/>
    <w:rsid w:val="00661ED5"/>
    <w:rsid w:val="00680019"/>
    <w:rsid w:val="0069414F"/>
    <w:rsid w:val="006A6A80"/>
    <w:rsid w:val="006C06F6"/>
    <w:rsid w:val="006C487E"/>
    <w:rsid w:val="006E4D55"/>
    <w:rsid w:val="006E78F8"/>
    <w:rsid w:val="006E7FD8"/>
    <w:rsid w:val="00766649"/>
    <w:rsid w:val="00791BBC"/>
    <w:rsid w:val="007943E3"/>
    <w:rsid w:val="00795B0F"/>
    <w:rsid w:val="007A406F"/>
    <w:rsid w:val="008070D0"/>
    <w:rsid w:val="008379FA"/>
    <w:rsid w:val="00840977"/>
    <w:rsid w:val="008451A0"/>
    <w:rsid w:val="008578A9"/>
    <w:rsid w:val="008612F6"/>
    <w:rsid w:val="008A2D04"/>
    <w:rsid w:val="008B04C2"/>
    <w:rsid w:val="00967B5C"/>
    <w:rsid w:val="00986730"/>
    <w:rsid w:val="009B0D0C"/>
    <w:rsid w:val="009E05D5"/>
    <w:rsid w:val="009F5B5E"/>
    <w:rsid w:val="00A30DA6"/>
    <w:rsid w:val="00A346B5"/>
    <w:rsid w:val="00A56F2A"/>
    <w:rsid w:val="00AA072C"/>
    <w:rsid w:val="00AA24D5"/>
    <w:rsid w:val="00AD5513"/>
    <w:rsid w:val="00B35E07"/>
    <w:rsid w:val="00B751AB"/>
    <w:rsid w:val="00BA7E8E"/>
    <w:rsid w:val="00BF382A"/>
    <w:rsid w:val="00C155E1"/>
    <w:rsid w:val="00C27C6F"/>
    <w:rsid w:val="00CA0E0A"/>
    <w:rsid w:val="00CE004B"/>
    <w:rsid w:val="00CF49DA"/>
    <w:rsid w:val="00D05A3A"/>
    <w:rsid w:val="00D066FD"/>
    <w:rsid w:val="00D33E4C"/>
    <w:rsid w:val="00D65EA1"/>
    <w:rsid w:val="00D74CFE"/>
    <w:rsid w:val="00DC5F7D"/>
    <w:rsid w:val="00DE4BCB"/>
    <w:rsid w:val="00E03A26"/>
    <w:rsid w:val="00E37485"/>
    <w:rsid w:val="00E6181A"/>
    <w:rsid w:val="00E64D4C"/>
    <w:rsid w:val="00E6652E"/>
    <w:rsid w:val="00E8591D"/>
    <w:rsid w:val="00E95825"/>
    <w:rsid w:val="00ED4E42"/>
    <w:rsid w:val="00EE6A5D"/>
    <w:rsid w:val="00F0456E"/>
    <w:rsid w:val="00F269AC"/>
    <w:rsid w:val="00F57C20"/>
    <w:rsid w:val="00F65ACD"/>
    <w:rsid w:val="00F85BAD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vl1Heading">
    <w:name w:val="lvl1 Heading"/>
    <w:basedOn w:val="Nagwek1"/>
    <w:next w:val="Normalny"/>
    <w:autoRedefine/>
    <w:qFormat/>
    <w:rsid w:val="00E6181A"/>
    <w:pPr>
      <w:spacing w:line="240" w:lineRule="auto"/>
      <w:ind w:left="360" w:hanging="360"/>
      <w:jc w:val="both"/>
    </w:pPr>
    <w:rPr>
      <w:rFonts w:ascii="Century Gothic" w:eastAsia="MS Gothic" w:hAnsi="Century Gothic" w:cs="Arial"/>
      <w:bCs w:val="0"/>
      <w:noProof/>
      <w:color w:val="455783"/>
      <w:kern w:val="24"/>
      <w:szCs w:val="72"/>
      <w:lang w:val="en-GB"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E61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D0"/>
  </w:style>
  <w:style w:type="paragraph" w:styleId="Stopka">
    <w:name w:val="footer"/>
    <w:basedOn w:val="Normalny"/>
    <w:link w:val="StopkaZnak"/>
    <w:uiPriority w:val="99"/>
    <w:unhideWhenUsed/>
    <w:rsid w:val="0080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D0"/>
  </w:style>
  <w:style w:type="paragraph" w:styleId="Bezodstpw">
    <w:name w:val="No Spacing"/>
    <w:uiPriority w:val="1"/>
    <w:qFormat/>
    <w:rsid w:val="003C75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4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vl1Heading">
    <w:name w:val="lvl1 Heading"/>
    <w:basedOn w:val="Nagwek1"/>
    <w:next w:val="Normalny"/>
    <w:autoRedefine/>
    <w:qFormat/>
    <w:rsid w:val="00E6181A"/>
    <w:pPr>
      <w:spacing w:line="240" w:lineRule="auto"/>
      <w:ind w:left="360" w:hanging="360"/>
      <w:jc w:val="both"/>
    </w:pPr>
    <w:rPr>
      <w:rFonts w:ascii="Century Gothic" w:eastAsia="MS Gothic" w:hAnsi="Century Gothic" w:cs="Arial"/>
      <w:bCs w:val="0"/>
      <w:noProof/>
      <w:color w:val="455783"/>
      <w:kern w:val="24"/>
      <w:szCs w:val="72"/>
      <w:lang w:val="en-GB"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E61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D0"/>
  </w:style>
  <w:style w:type="paragraph" w:styleId="Stopka">
    <w:name w:val="footer"/>
    <w:basedOn w:val="Normalny"/>
    <w:link w:val="StopkaZnak"/>
    <w:uiPriority w:val="99"/>
    <w:unhideWhenUsed/>
    <w:rsid w:val="0080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D0"/>
  </w:style>
  <w:style w:type="paragraph" w:styleId="Bezodstpw">
    <w:name w:val="No Spacing"/>
    <w:uiPriority w:val="1"/>
    <w:qFormat/>
    <w:rsid w:val="003C75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F5BE7-A699-492F-B31A-BF90E7E5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Galdámez Muñoz</dc:creator>
  <cp:lastModifiedBy>Gabriela Galdámez Muñoz</cp:lastModifiedBy>
  <cp:revision>5</cp:revision>
  <dcterms:created xsi:type="dcterms:W3CDTF">2017-02-22T13:32:00Z</dcterms:created>
  <dcterms:modified xsi:type="dcterms:W3CDTF">2017-02-27T22:02:00Z</dcterms:modified>
</cp:coreProperties>
</file>